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77777777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30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30"/>
          <w:szCs w:val="40"/>
        </w:rPr>
        <w:t>C – Projektbeschreibung</w:t>
      </w:r>
    </w:p>
    <w:p w14:paraId="01CAC22E" w14:textId="63EE5CBC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22"/>
          <w:szCs w:val="40"/>
        </w:rPr>
        <w:t>C1. Beitrag zur euregionalen Strategie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5004AD22" w14:textId="1128349D" w:rsidR="00EA24B7" w:rsidRPr="001A0B21" w:rsidRDefault="000B60C8" w:rsidP="007B3E9D">
      <w:pPr>
        <w:jc w:val="both"/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>Um als Mittel- oder Kleinprojekt im INTERREG BY-AT 2021-2027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Programm</w:t>
      </w:r>
      <w:r w:rsidRPr="001A0B21">
        <w:rPr>
          <w:rFonts w:ascii="Open Sans" w:hAnsi="Open Sans" w:cs="Open Sans"/>
          <w:bCs/>
          <w:sz w:val="18"/>
          <w:szCs w:val="40"/>
        </w:rPr>
        <w:t xml:space="preserve"> qualifiziert werden zu können bedarf es eines Beitrages zu einer euregionalen Strategie. Die euregionalen Strategien wurden für die sechs Euregios im Programmraum ausgearbeitet und sprechen jeweils drei INTERREG- spezifische </w:t>
      </w:r>
      <w:r w:rsidR="00172329" w:rsidRPr="001A0B21">
        <w:rPr>
          <w:rFonts w:ascii="Open Sans" w:hAnsi="Open Sans" w:cs="Open Sans"/>
          <w:bCs/>
          <w:sz w:val="18"/>
          <w:szCs w:val="40"/>
        </w:rPr>
        <w:t>Schwerpunktthemen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in den funktionalen Teilregionen des bayerisch-österreichischen Grenzraum </w:t>
      </w:r>
      <w:r w:rsidR="00172329" w:rsidRPr="001A0B21">
        <w:rPr>
          <w:rFonts w:ascii="Open Sans" w:hAnsi="Open Sans" w:cs="Open Sans"/>
          <w:bCs/>
          <w:sz w:val="18"/>
          <w:szCs w:val="40"/>
        </w:rPr>
        <w:t>an, die unterstütz werden können</w:t>
      </w:r>
      <w:r w:rsidRPr="001A0B21">
        <w:rPr>
          <w:rFonts w:ascii="Open Sans" w:hAnsi="Open Sans" w:cs="Open Sans"/>
          <w:bCs/>
          <w:sz w:val="18"/>
          <w:szCs w:val="40"/>
        </w:rPr>
        <w:t>.</w:t>
      </w:r>
      <w:r w:rsidR="00803A5B" w:rsidRPr="001A0B21">
        <w:rPr>
          <w:rFonts w:ascii="Open Sans" w:hAnsi="Open Sans" w:cs="Open Sans"/>
          <w:b/>
          <w:bCs/>
          <w:color w:val="54AFC1"/>
          <w:sz w:val="22"/>
          <w:szCs w:val="40"/>
        </w:rPr>
        <w:tab/>
      </w:r>
    </w:p>
    <w:p w14:paraId="4E772481" w14:textId="4BC04EEA" w:rsidR="00A641A5" w:rsidRPr="001A0B21" w:rsidRDefault="00A641A5" w:rsidP="007B3E9D">
      <w:pPr>
        <w:jc w:val="both"/>
        <w:rPr>
          <w:rFonts w:ascii="Open Sans" w:hAnsi="Open Sans" w:cs="Open Sans"/>
          <w:b/>
          <w:bCs/>
          <w:color w:val="54AFC1"/>
          <w:sz w:val="10"/>
          <w:szCs w:val="40"/>
        </w:rPr>
      </w:pPr>
    </w:p>
    <w:p w14:paraId="062229F3" w14:textId="21681178" w:rsidR="007B3E9D" w:rsidRDefault="007B3E9D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3072FC4A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43F38F2F" w14:textId="1BD9766B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Themenschwerpunkte und Indikatoren Euregio </w:t>
      </w:r>
      <w:r w:rsidR="0001420C">
        <w:rPr>
          <w:rFonts w:ascii="Open Sans" w:hAnsi="Open Sans" w:cs="Open Sans"/>
          <w:b/>
          <w:bCs/>
          <w:sz w:val="22"/>
          <w:szCs w:val="40"/>
        </w:rPr>
        <w:t>VIA SALINA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6CC2906A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euregionalen Strategien ist verbunden mit einem verpflichtenden 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diesen Schwerpunkt definierten Indikator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 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zum gewählten Themenschwerpunkt und Indikator an</w:t>
      </w:r>
      <w:r w:rsidR="00A723E8">
        <w:rPr>
          <w:rFonts w:ascii="Open Sans" w:hAnsi="Open Sans" w:cs="Open Sans"/>
          <w:bCs/>
          <w:sz w:val="18"/>
          <w:szCs w:val="40"/>
        </w:rPr>
        <w:t xml:space="preserve"> und begründen Sie diesen</w:t>
      </w:r>
      <w:r w:rsidR="00B81972" w:rsidRPr="001A0B21">
        <w:rPr>
          <w:rFonts w:ascii="Open Sans" w:hAnsi="Open Sans" w:cs="Open Sans"/>
          <w:bCs/>
          <w:sz w:val="18"/>
          <w:szCs w:val="40"/>
        </w:rPr>
        <w:t>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C1E2D34" w14:textId="4645789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5477E0D3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5C03DF">
        <w:rPr>
          <w:rFonts w:asciiTheme="minorHAnsi" w:hAnsiTheme="minorHAnsi" w:cstheme="minorHAnsi"/>
          <w:kern w:val="2"/>
          <w:sz w:val="16"/>
        </w:rPr>
      </w:r>
      <w:r w:rsidR="005C03DF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8B08C0">
        <w:rPr>
          <w:rFonts w:asciiTheme="minorHAnsi" w:eastAsia="Arial Unicode MS" w:hAnsiTheme="minorHAnsi" w:cstheme="minorHAnsi"/>
          <w:b/>
          <w:bCs/>
          <w:szCs w:val="24"/>
        </w:rPr>
        <w:t xml:space="preserve">Aktionsfeld </w:t>
      </w:r>
      <w:r w:rsidR="008B070F">
        <w:rPr>
          <w:rFonts w:asciiTheme="minorHAnsi" w:eastAsia="Arial Unicode MS" w:hAnsiTheme="minorHAnsi" w:cstheme="minorHAnsi"/>
          <w:b/>
          <w:bCs/>
          <w:szCs w:val="24"/>
        </w:rPr>
        <w:t>1</w:t>
      </w:r>
    </w:p>
    <w:p w14:paraId="58397206" w14:textId="1166F271" w:rsidR="002C08E9" w:rsidRPr="001A0B21" w:rsidRDefault="008B070F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Integrierter Tourismus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6F812742" w:rsidR="003546BA" w:rsidRPr="001A0B21" w:rsidRDefault="003546BA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Stärkung der Schutzgebiete als Grundlage des regionalen Tourismus</w:t>
            </w:r>
          </w:p>
        </w:tc>
      </w:tr>
      <w:tr w:rsidR="00DB2B26" w:rsidRPr="001A0B21" w14:paraId="67D0807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CBA72BD" w14:textId="55CB7C5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Verbesserung der (digitalen) Besucherlenkung</w:t>
            </w:r>
          </w:p>
        </w:tc>
      </w:tr>
      <w:tr w:rsidR="00DB2B26" w:rsidRPr="001A0B21" w14:paraId="14B0107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7C599B84" w14:textId="7A6DE9D2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Stärkung von Qualität und Resilienz im Tourismus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3A07F3DC" w:rsidR="003546BA" w:rsidRPr="001A0B21" w:rsidRDefault="003546BA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Naturschutz, Umweltbildung und Tourismus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CFA9EF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C71A852" w14:textId="36A383E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Anzahl beteiligter Projektpartner</w:t>
            </w:r>
          </w:p>
        </w:tc>
        <w:tc>
          <w:tcPr>
            <w:tcW w:w="1077" w:type="dxa"/>
            <w:vAlign w:val="center"/>
          </w:tcPr>
          <w:p w14:paraId="1F530ABD" w14:textId="14C26E10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2BB010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897613A" w14:textId="25EE7C17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/ angestoßene Prozesse zu Schutzgebieten und Managementstrukturen</w:t>
            </w:r>
          </w:p>
        </w:tc>
        <w:tc>
          <w:tcPr>
            <w:tcW w:w="1077" w:type="dxa"/>
            <w:vAlign w:val="center"/>
          </w:tcPr>
          <w:p w14:paraId="5279B8FF" w14:textId="3CC5423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556E92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7C7D891" w14:textId="378FE26F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Teilnehmer*innen bei Netzwerkveranstaltungen zu Umweltbildung, Naturschutz und Tourismus</w:t>
            </w:r>
          </w:p>
        </w:tc>
        <w:tc>
          <w:tcPr>
            <w:tcW w:w="1077" w:type="dxa"/>
            <w:vAlign w:val="center"/>
          </w:tcPr>
          <w:p w14:paraId="68CC0133" w14:textId="4FE269D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DACA3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19A597D" w14:textId="6942825C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(digitale) Besucherlenkung</w:t>
            </w:r>
          </w:p>
        </w:tc>
        <w:tc>
          <w:tcPr>
            <w:tcW w:w="1077" w:type="dxa"/>
            <w:vAlign w:val="center"/>
          </w:tcPr>
          <w:p w14:paraId="6967D81D" w14:textId="57D5677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EF431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15EB5A7" w14:textId="5AE39E73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496B92E5" w14:textId="50C22C1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89179B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3EA6AF3" w14:textId="36FB1F11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grenzüberschreitender Kampagnen</w:t>
            </w:r>
          </w:p>
        </w:tc>
        <w:tc>
          <w:tcPr>
            <w:tcW w:w="1077" w:type="dxa"/>
            <w:vAlign w:val="center"/>
          </w:tcPr>
          <w:p w14:paraId="0315DB7A" w14:textId="043D43C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B2958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163B98" w14:textId="2D8734A3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Prozese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/ Maßnahmen zur Vereinheitlichung von Regeln</w:t>
            </w:r>
          </w:p>
        </w:tc>
        <w:tc>
          <w:tcPr>
            <w:tcW w:w="1077" w:type="dxa"/>
            <w:vAlign w:val="center"/>
          </w:tcPr>
          <w:p w14:paraId="42F9294F" w14:textId="03585B5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E669A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E41B70A" w14:textId="3F6C01A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Entwicklung eines Index zur Messung der Zufriedenheit von Gästen und Einheimischen</w:t>
            </w:r>
          </w:p>
        </w:tc>
        <w:tc>
          <w:tcPr>
            <w:tcW w:w="1077" w:type="dxa"/>
            <w:vAlign w:val="center"/>
          </w:tcPr>
          <w:p w14:paraId="2A17BE25" w14:textId="77800D9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D79CCB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AF12774" w14:textId="4AF54BDC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Qualitätsentwicklung und Resilienz im Tourismus</w:t>
            </w:r>
          </w:p>
        </w:tc>
        <w:tc>
          <w:tcPr>
            <w:tcW w:w="1077" w:type="dxa"/>
            <w:vAlign w:val="center"/>
          </w:tcPr>
          <w:p w14:paraId="50837058" w14:textId="1B3D54C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9DCDA1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B7387BD" w14:textId="130BE8F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7A2B4AAD" w14:textId="2DC4BE2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EA54A07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E555071" w14:textId="5BDB9C6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/ angestoßene Prozesse zur Entwicklung oder Verbesserung grenzüberschreitender touristischer Angebote</w:t>
            </w:r>
          </w:p>
        </w:tc>
        <w:tc>
          <w:tcPr>
            <w:tcW w:w="1077" w:type="dxa"/>
            <w:vAlign w:val="center"/>
          </w:tcPr>
          <w:p w14:paraId="59FBDEF5" w14:textId="3BF0A641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5A9431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29841B9" w14:textId="2663C07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neuer grenzüberschreitender touristischer Angebote</w:t>
            </w:r>
          </w:p>
        </w:tc>
        <w:tc>
          <w:tcPr>
            <w:tcW w:w="1077" w:type="dxa"/>
            <w:vAlign w:val="center"/>
          </w:tcPr>
          <w:p w14:paraId="561E5B81" w14:textId="5FFA4BDF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57515E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43829EB7" w14:textId="04DCD1A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zertifizierter Betriebe</w:t>
            </w:r>
          </w:p>
        </w:tc>
        <w:tc>
          <w:tcPr>
            <w:tcW w:w="1077" w:type="dxa"/>
            <w:vAlign w:val="center"/>
          </w:tcPr>
          <w:p w14:paraId="050FAD39" w14:textId="2CF1DFA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64359F0E" w:rsidR="00111B60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823CC66" w14:textId="10656FF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744F" w14:textId="5E230893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10CDE73" w14:textId="77777777" w:rsidR="008B070F" w:rsidRDefault="008B070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0D766AB" w14:textId="028A75C2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1B7776B" w14:textId="06768CDF" w:rsidR="00DB2B26" w:rsidRPr="001A0B21" w:rsidRDefault="00DB2B26" w:rsidP="00DB2B26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5C03DF">
        <w:rPr>
          <w:rFonts w:asciiTheme="minorHAnsi" w:hAnsiTheme="minorHAnsi" w:cstheme="minorHAnsi"/>
          <w:kern w:val="2"/>
          <w:sz w:val="16"/>
        </w:rPr>
      </w:r>
      <w:r w:rsidR="005C03DF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 xml:space="preserve">Aktionsfeld </w:t>
      </w:r>
      <w:r w:rsidR="008B070F">
        <w:rPr>
          <w:rFonts w:asciiTheme="minorHAnsi" w:eastAsia="Arial Unicode MS" w:hAnsiTheme="minorHAnsi" w:cstheme="minorHAnsi"/>
          <w:b/>
          <w:bCs/>
          <w:szCs w:val="24"/>
        </w:rPr>
        <w:t>2</w:t>
      </w:r>
    </w:p>
    <w:p w14:paraId="366D2128" w14:textId="080621A0" w:rsidR="00DB2B26" w:rsidRPr="001A0B21" w:rsidRDefault="008B070F" w:rsidP="00DB2B26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Nachhaltige Mobilität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DB2B26" w:rsidRPr="001A0B21" w14:paraId="29E145BF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39DDAD8" w14:textId="77777777" w:rsidR="00DB2B26" w:rsidRPr="001A0B21" w:rsidRDefault="00DB2B26" w:rsidP="00F5730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DB2B26" w:rsidRPr="001A0B21" w14:paraId="49047D42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23D697B" w14:textId="29024934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MIV besser lenken und reduzieren</w:t>
            </w:r>
          </w:p>
        </w:tc>
      </w:tr>
      <w:tr w:rsidR="00DB2B26" w:rsidRPr="001A0B21" w14:paraId="39E75620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C462431" w14:textId="4E8A80F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ÖPNV stärken</w:t>
            </w:r>
          </w:p>
        </w:tc>
      </w:tr>
      <w:tr w:rsidR="00DB2B26" w:rsidRPr="001A0B21" w14:paraId="78B34E95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7ADFD9CC" w14:textId="5A2CAE10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Entwicklung und Implementierung von nachhaltigen und innovativen Mobilitätskonzepten</w:t>
            </w:r>
          </w:p>
        </w:tc>
      </w:tr>
      <w:tr w:rsidR="00DB2B26" w:rsidRPr="001A0B21" w14:paraId="2D37D3CE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0371BF2" w14:textId="7777777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51C544DA" w14:textId="77777777" w:rsidR="00DB2B26" w:rsidRPr="001A0B21" w:rsidRDefault="00DB2B26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DB2B26" w:rsidRPr="001A0B21" w14:paraId="7CA61963" w14:textId="77777777" w:rsidTr="00F57305">
        <w:trPr>
          <w:trHeight w:val="567"/>
        </w:trPr>
        <w:tc>
          <w:tcPr>
            <w:tcW w:w="8220" w:type="dxa"/>
            <w:vAlign w:val="center"/>
          </w:tcPr>
          <w:p w14:paraId="17EF2FD2" w14:textId="77777777" w:rsidR="00DB2B26" w:rsidRPr="001A0B21" w:rsidRDefault="00DB2B26" w:rsidP="00F57305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4E0A4FD9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DB2B26" w:rsidRPr="001A0B21" w14:paraId="77B518B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B28D7D7" w14:textId="796207E4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Verkehrslenkung, Parkraummanagement und Reduzierung MIV</w:t>
            </w:r>
          </w:p>
        </w:tc>
        <w:tc>
          <w:tcPr>
            <w:tcW w:w="1077" w:type="dxa"/>
            <w:vAlign w:val="center"/>
          </w:tcPr>
          <w:p w14:paraId="38ED03B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0BF8945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79820104" w14:textId="7D7C164D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0B6DDCE2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7832F20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F01D444" w14:textId="006D3A4B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besseren Lenkung oder Reduzierung des MIV</w:t>
            </w:r>
          </w:p>
        </w:tc>
        <w:tc>
          <w:tcPr>
            <w:tcW w:w="1077" w:type="dxa"/>
            <w:vAlign w:val="center"/>
          </w:tcPr>
          <w:p w14:paraId="2438F10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7A3C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B39E17" w14:textId="39BC1B3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Maßnahmen zur Lenkung und/oder Reduzierung des MIV</w:t>
            </w:r>
          </w:p>
        </w:tc>
        <w:tc>
          <w:tcPr>
            <w:tcW w:w="1077" w:type="dxa"/>
            <w:vAlign w:val="center"/>
          </w:tcPr>
          <w:p w14:paraId="0BC4AC6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07B201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CF3868E" w14:textId="3BE7768F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Stärkung des ÖPNV</w:t>
            </w:r>
          </w:p>
        </w:tc>
        <w:tc>
          <w:tcPr>
            <w:tcW w:w="1077" w:type="dxa"/>
            <w:vAlign w:val="center"/>
          </w:tcPr>
          <w:p w14:paraId="757DA6F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7E8EA14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8B85A6" w14:textId="2AFCB639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0993030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216F0E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D68F1BB" w14:textId="4895842E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Stärkung des ÖPNV</w:t>
            </w:r>
          </w:p>
        </w:tc>
        <w:tc>
          <w:tcPr>
            <w:tcW w:w="1077" w:type="dxa"/>
            <w:vAlign w:val="center"/>
          </w:tcPr>
          <w:p w14:paraId="6E0E856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699F8A3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3AE3871" w14:textId="2E31D3C2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Maßnahmen zur Stärkung des ÖPNV</w:t>
            </w:r>
          </w:p>
        </w:tc>
        <w:tc>
          <w:tcPr>
            <w:tcW w:w="1077" w:type="dxa"/>
            <w:vAlign w:val="center"/>
          </w:tcPr>
          <w:p w14:paraId="6DB7FE0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B821C2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BE45CCF" w14:textId="5071861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Projekte im Bereich nachhaltige und innovative Mobilitätskonzepte</w:t>
            </w:r>
          </w:p>
        </w:tc>
        <w:tc>
          <w:tcPr>
            <w:tcW w:w="1077" w:type="dxa"/>
            <w:vAlign w:val="center"/>
          </w:tcPr>
          <w:p w14:paraId="22C931A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E65C7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97EA0CA" w14:textId="281BE01D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39EB4E0F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BD96E4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0332BFB" w14:textId="7C24BAB6" w:rsidR="00DB2B26" w:rsidRPr="001A0B21" w:rsidRDefault="00DB2B26" w:rsidP="008B07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Anzahl Konzepte / Studien zur Entwicklung nachhaltiger und / oder innovativer Mobilitätskonzepte</w:t>
            </w:r>
          </w:p>
        </w:tc>
        <w:tc>
          <w:tcPr>
            <w:tcW w:w="1077" w:type="dxa"/>
            <w:vAlign w:val="center"/>
          </w:tcPr>
          <w:p w14:paraId="162B07DD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E5EB2D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F691840" w14:textId="6C971C4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>pilothafter</w:t>
            </w:r>
            <w:proofErr w:type="spellEnd"/>
            <w:r w:rsidR="008B070F" w:rsidRPr="008B070F">
              <w:rPr>
                <w:rFonts w:asciiTheme="minorHAnsi" w:hAnsiTheme="minorHAnsi" w:cstheme="minorHAnsi"/>
                <w:sz w:val="18"/>
                <w:szCs w:val="22"/>
              </w:rPr>
              <w:t xml:space="preserve"> Implementierungen von nachhaltigen und / oder innovativen Mobilitätskonzepten</w:t>
            </w:r>
          </w:p>
        </w:tc>
        <w:tc>
          <w:tcPr>
            <w:tcW w:w="1077" w:type="dxa"/>
            <w:vAlign w:val="center"/>
          </w:tcPr>
          <w:p w14:paraId="6DD4236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4D444F8" w14:textId="2E66A3BE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2A4875A" w14:textId="6CE96949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179190E" w14:textId="2DC3162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D7D9AC3" w14:textId="77777777" w:rsidR="008B070F" w:rsidRPr="001A0B21" w:rsidRDefault="008B070F" w:rsidP="008B070F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5C03DF">
        <w:rPr>
          <w:rFonts w:asciiTheme="minorHAnsi" w:hAnsiTheme="minorHAnsi" w:cstheme="minorHAnsi"/>
          <w:kern w:val="2"/>
          <w:sz w:val="16"/>
        </w:rPr>
      </w:r>
      <w:r w:rsidR="005C03DF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Aktionsfeld 3</w:t>
      </w:r>
    </w:p>
    <w:p w14:paraId="56A73262" w14:textId="7A8B2FC2" w:rsidR="008B070F" w:rsidRPr="001A0B21" w:rsidRDefault="0001420C" w:rsidP="008B070F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Lernende Region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8B070F" w:rsidRPr="001A0B21" w14:paraId="5508E0AA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6744CA11" w14:textId="77777777" w:rsidR="008B070F" w:rsidRPr="001A0B21" w:rsidRDefault="008B070F" w:rsidP="002466F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B070F" w:rsidRPr="001A0B21" w14:paraId="1CDEA20C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509FC893" w14:textId="1994DAF7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Grenzüberschreitende Aus-, Fort- und Weiterbildungsmöglichkeiten</w:t>
            </w:r>
          </w:p>
        </w:tc>
      </w:tr>
      <w:tr w:rsidR="008B070F" w:rsidRPr="001A0B21" w14:paraId="7C2DFE5C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23FB5664" w14:textId="6E46E7F3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Fachkräftegewinnung und -bindung</w:t>
            </w:r>
          </w:p>
        </w:tc>
      </w:tr>
      <w:tr w:rsidR="008B070F" w:rsidRPr="001A0B21" w14:paraId="63F0C387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0B840CEE" w14:textId="313D593A" w:rsidR="008B070F" w:rsidRPr="001A0B21" w:rsidRDefault="008B070F" w:rsidP="0001420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420C" w:rsidRPr="0001420C">
              <w:rPr>
                <w:rFonts w:asciiTheme="minorHAnsi" w:hAnsiTheme="minorHAnsi" w:cstheme="minorHAnsi"/>
                <w:sz w:val="18"/>
                <w:szCs w:val="22"/>
              </w:rPr>
              <w:t>Stärkung des Wissens über die gemeinsame Identität in der Region</w:t>
            </w:r>
          </w:p>
        </w:tc>
      </w:tr>
      <w:tr w:rsidR="008B070F" w:rsidRPr="001A0B21" w14:paraId="5DED2557" w14:textId="77777777" w:rsidTr="002466F7">
        <w:trPr>
          <w:trHeight w:val="340"/>
        </w:trPr>
        <w:tc>
          <w:tcPr>
            <w:tcW w:w="9298" w:type="dxa"/>
            <w:vAlign w:val="center"/>
          </w:tcPr>
          <w:p w14:paraId="2CCA09F7" w14:textId="77777777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DBE67EC" w14:textId="77777777" w:rsidR="008B070F" w:rsidRPr="001A0B21" w:rsidRDefault="008B070F" w:rsidP="008B070F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8B070F" w:rsidRPr="001A0B21" w14:paraId="785B2649" w14:textId="77777777" w:rsidTr="002466F7">
        <w:trPr>
          <w:trHeight w:val="567"/>
        </w:trPr>
        <w:tc>
          <w:tcPr>
            <w:tcW w:w="8220" w:type="dxa"/>
            <w:vAlign w:val="center"/>
          </w:tcPr>
          <w:p w14:paraId="3CA5C976" w14:textId="77777777" w:rsidR="008B070F" w:rsidRPr="001A0B21" w:rsidRDefault="008B070F" w:rsidP="002466F7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3F2E901B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8B070F" w:rsidRPr="001A0B21" w14:paraId="4D979E2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5BD8AD7D" w14:textId="4429F204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Vernetzung von Bildungsangeboten</w:t>
            </w:r>
          </w:p>
        </w:tc>
        <w:tc>
          <w:tcPr>
            <w:tcW w:w="1077" w:type="dxa"/>
            <w:vAlign w:val="center"/>
          </w:tcPr>
          <w:p w14:paraId="22846EB3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6931D2A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4C9AD878" w14:textId="083A53C1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6B6F4410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1D777016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74D297C4" w14:textId="5BA947F4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neu geschaffener bzw. erstmalig grenzüberschreitend beworbener Bildungsangebote</w:t>
            </w:r>
          </w:p>
        </w:tc>
        <w:tc>
          <w:tcPr>
            <w:tcW w:w="1077" w:type="dxa"/>
            <w:vAlign w:val="center"/>
          </w:tcPr>
          <w:p w14:paraId="4E152D4B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3359C08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0A13CDAB" w14:textId="064D39A6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Kampagnen zu grenzüberschreitenden Möglichkeiten der Aus-, Fort- und/oder Weiterbildung</w:t>
            </w:r>
          </w:p>
        </w:tc>
        <w:tc>
          <w:tcPr>
            <w:tcW w:w="1077" w:type="dxa"/>
            <w:vAlign w:val="center"/>
          </w:tcPr>
          <w:p w14:paraId="34C5CC26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5AFCDA6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5AAFAAA8" w14:textId="74F3309B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Fachkräftegewinnung und/oder -bindung</w:t>
            </w:r>
          </w:p>
        </w:tc>
        <w:tc>
          <w:tcPr>
            <w:tcW w:w="1077" w:type="dxa"/>
            <w:vAlign w:val="center"/>
          </w:tcPr>
          <w:p w14:paraId="2032E160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436F1F6B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31532936" w14:textId="2B6CC1A2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5E60D242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319D5A8E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191525DD" w14:textId="40ABCD1C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spellStart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grenzübeschreitender</w:t>
            </w:r>
            <w:proofErr w:type="spellEnd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 Fachkräftekampagnen</w:t>
            </w:r>
          </w:p>
        </w:tc>
        <w:tc>
          <w:tcPr>
            <w:tcW w:w="1077" w:type="dxa"/>
            <w:vAlign w:val="center"/>
          </w:tcPr>
          <w:p w14:paraId="5B5A4887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06220C63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7CA7C88F" w14:textId="77F9E128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Anzahl Konzepte / Studien zur grenzüberschreitenden </w:t>
            </w:r>
            <w:proofErr w:type="spellStart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Fachkrätegewinnung</w:t>
            </w:r>
            <w:proofErr w:type="spellEnd"/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 xml:space="preserve"> und/oder -bindung</w:t>
            </w:r>
          </w:p>
        </w:tc>
        <w:tc>
          <w:tcPr>
            <w:tcW w:w="1077" w:type="dxa"/>
            <w:vAlign w:val="center"/>
          </w:tcPr>
          <w:p w14:paraId="4BC60105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667527AF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6341F732" w14:textId="215D7F33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Projekte im Bereich Wissensvermittlung zur gemeinsamen Geschichte / Kultur / Traditionen im Grenzraum</w:t>
            </w:r>
          </w:p>
        </w:tc>
        <w:tc>
          <w:tcPr>
            <w:tcW w:w="1077" w:type="dxa"/>
            <w:vAlign w:val="center"/>
          </w:tcPr>
          <w:p w14:paraId="74B53312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2CE31F3A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37803F03" w14:textId="6DA092BB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beteiligter Projektpartner</w:t>
            </w:r>
          </w:p>
        </w:tc>
        <w:tc>
          <w:tcPr>
            <w:tcW w:w="1077" w:type="dxa"/>
            <w:vAlign w:val="center"/>
          </w:tcPr>
          <w:p w14:paraId="4DFE3925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0629AC65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2031C54B" w14:textId="6C17F1B5" w:rsidR="008B070F" w:rsidRPr="001A0B21" w:rsidRDefault="008B070F" w:rsidP="00A62DA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neuer Angebote zur Wissensvermittlung über den gemeinsamen Grenzraum</w:t>
            </w:r>
          </w:p>
        </w:tc>
        <w:tc>
          <w:tcPr>
            <w:tcW w:w="1077" w:type="dxa"/>
            <w:vAlign w:val="center"/>
          </w:tcPr>
          <w:p w14:paraId="306AA431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8B070F" w:rsidRPr="001A0B21" w14:paraId="561CA378" w14:textId="77777777" w:rsidTr="002466F7">
        <w:trPr>
          <w:trHeight w:val="340"/>
        </w:trPr>
        <w:tc>
          <w:tcPr>
            <w:tcW w:w="8220" w:type="dxa"/>
            <w:vAlign w:val="center"/>
          </w:tcPr>
          <w:p w14:paraId="07C741D6" w14:textId="50BC8A71" w:rsidR="008B070F" w:rsidRPr="001A0B21" w:rsidRDefault="008B070F" w:rsidP="002466F7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</w:r>
            <w:r w:rsidR="005C03DF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62DAD" w:rsidRPr="00A62DAD">
              <w:rPr>
                <w:rFonts w:asciiTheme="minorHAnsi" w:hAnsiTheme="minorHAnsi" w:cstheme="minorHAnsi"/>
                <w:sz w:val="18"/>
                <w:szCs w:val="22"/>
              </w:rPr>
              <w:t>Anzahl grenzüberschreitender Kulturveranstaltungen</w:t>
            </w:r>
          </w:p>
        </w:tc>
        <w:tc>
          <w:tcPr>
            <w:tcW w:w="1077" w:type="dxa"/>
            <w:vAlign w:val="center"/>
          </w:tcPr>
          <w:p w14:paraId="0235697D" w14:textId="77777777" w:rsidR="008B070F" w:rsidRPr="001A0B21" w:rsidRDefault="008B070F" w:rsidP="002466F7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B757176" w14:textId="038E715F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EF4D27">
        <w:trPr>
          <w:trHeight w:val="567"/>
        </w:trPr>
        <w:tc>
          <w:tcPr>
            <w:tcW w:w="9297" w:type="dxa"/>
            <w:vAlign w:val="center"/>
          </w:tcPr>
          <w:p w14:paraId="2A1B55FD" w14:textId="77777777" w:rsidR="001A0B21" w:rsidRDefault="001A0B21" w:rsidP="00EF4D27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Begründunge des gewählten Themenschwerpunktes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  <w:p w14:paraId="75BE8520" w14:textId="1B42BC0E" w:rsidR="001A0B21" w:rsidRPr="001A0B21" w:rsidRDefault="001A0B21" w:rsidP="00EF4D27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Bitte begründen Sie die Wahl des Themenschwerpunktes und stellen Sie dar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,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warum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und in welcher Form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Ihr Projekt dazu einen Beitrag leistet.</w:t>
            </w:r>
          </w:p>
        </w:tc>
      </w:tr>
      <w:tr w:rsidR="001A0B21" w:rsidRPr="001A0B21" w14:paraId="6E103DC8" w14:textId="77777777" w:rsidTr="00EF4D27">
        <w:trPr>
          <w:trHeight w:val="5625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EF4D27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3FD7DEE4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p w14:paraId="578EA1E6" w14:textId="77777777" w:rsidR="00A62DAD" w:rsidRPr="00A62DAD" w:rsidRDefault="00A62DAD" w:rsidP="00EC0CF4">
      <w:pPr>
        <w:jc w:val="both"/>
        <w:rPr>
          <w:rStyle w:val="IntensiveHervorhebung"/>
        </w:rPr>
      </w:pPr>
    </w:p>
    <w:p w14:paraId="3EBE25DF" w14:textId="1FBFB3C1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A62DAD">
        <w:trPr>
          <w:trHeight w:val="3528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FA547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71FBF197" w14:textId="205C5F36" w:rsidR="00B25D3F" w:rsidRDefault="00B25D3F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2BD6A32" w14:textId="079FAFE6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5BE833AA" w14:textId="7612E349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77777777" w:rsidR="00C50D5E" w:rsidRDefault="00C50D5E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0902A312" w:rsidR="00C50D5E" w:rsidRPr="004E59FE" w:rsidRDefault="002939E9" w:rsidP="00CB7520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68FFBAA1">
          <wp:simplePos x="0" y="0"/>
          <wp:positionH relativeFrom="column">
            <wp:posOffset>3134018</wp:posOffset>
          </wp:positionH>
          <wp:positionV relativeFrom="paragraph">
            <wp:posOffset>14605</wp:posOffset>
          </wp:positionV>
          <wp:extent cx="2798422" cy="4572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4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37ECC7BA" wp14:editId="09D8271C">
          <wp:simplePos x="0" y="0"/>
          <wp:positionH relativeFrom="margin">
            <wp:align>left</wp:align>
          </wp:positionH>
          <wp:positionV relativeFrom="paragraph">
            <wp:posOffset>-20271</wp:posOffset>
          </wp:positionV>
          <wp:extent cx="2016125" cy="545465"/>
          <wp:effectExtent l="0" t="0" r="317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20C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39E9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03DF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070F"/>
    <w:rsid w:val="008B08C0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31D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2DAD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17E6E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520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2B26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IntensiveHervorhebung">
    <w:name w:val="Intense Emphasis"/>
    <w:basedOn w:val="Absatz-Standardschriftart"/>
    <w:uiPriority w:val="21"/>
    <w:qFormat/>
    <w:rsid w:val="00A62DA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8E67-6E68-4C44-87AB-3A4B2F0C06E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1de3653-71db-4cee-abcb-2171307813f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F8BC8-B1E5-4D67-82A6-54684D6B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Mayrhofer, Andrea</cp:lastModifiedBy>
  <cp:revision>26</cp:revision>
  <cp:lastPrinted>2022-06-28T07:30:00Z</cp:lastPrinted>
  <dcterms:created xsi:type="dcterms:W3CDTF">2022-03-01T15:52:00Z</dcterms:created>
  <dcterms:modified xsi:type="dcterms:W3CDTF">2022-06-28T07:30:00Z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